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18" w:rsidRPr="00030D7C" w:rsidRDefault="00461218" w:rsidP="00461218">
      <w:pPr>
        <w:rPr>
          <w:rFonts w:ascii="Times New Roman" w:eastAsiaTheme="minorEastAsia" w:hAnsi="Times New Roman" w:cs="Times New Roman"/>
          <w:b/>
        </w:rPr>
      </w:pPr>
      <w:bookmarkStart w:id="0" w:name="_GoBack"/>
      <w:r w:rsidRPr="00030D7C">
        <w:rPr>
          <w:rFonts w:ascii="Times New Roman" w:eastAsiaTheme="minorEastAsia" w:hAnsi="Times New Roman" w:cs="Times New Roman"/>
          <w:b/>
        </w:rPr>
        <w:t>附件</w:t>
      </w:r>
      <w:r w:rsidRPr="00030D7C">
        <w:rPr>
          <w:rFonts w:ascii="Times New Roman" w:eastAsiaTheme="minorEastAsia" w:hAnsi="Times New Roman" w:cs="Times New Roman"/>
          <w:b/>
        </w:rPr>
        <w:t>2</w:t>
      </w:r>
    </w:p>
    <w:p w:rsidR="00461218" w:rsidRPr="00030D7C" w:rsidRDefault="00461218" w:rsidP="00461218">
      <w:pPr>
        <w:jc w:val="left"/>
        <w:rPr>
          <w:rFonts w:ascii="Times New Roman" w:eastAsiaTheme="minorEastAsia" w:hAnsi="Times New Roman" w:cs="Times New Roman"/>
        </w:rPr>
      </w:pPr>
    </w:p>
    <w:p w:rsidR="00461218" w:rsidRPr="00030D7C" w:rsidRDefault="00461218" w:rsidP="00461218">
      <w:pPr>
        <w:tabs>
          <w:tab w:val="left" w:pos="640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30D7C">
        <w:rPr>
          <w:rFonts w:ascii="Times New Roman" w:eastAsiaTheme="minorEastAsia" w:hAnsi="Times New Roman" w:cs="Times New Roman"/>
          <w:b/>
          <w:sz w:val="24"/>
          <w:szCs w:val="24"/>
        </w:rPr>
        <w:t>流体包裹体分析注意事项</w:t>
      </w:r>
    </w:p>
    <w:p w:rsidR="00461218" w:rsidRPr="00030D7C" w:rsidRDefault="00461218" w:rsidP="00461218">
      <w:pPr>
        <w:jc w:val="left"/>
        <w:rPr>
          <w:rFonts w:ascii="Times New Roman" w:eastAsiaTheme="minorEastAsia" w:hAnsi="Times New Roman" w:cs="Times New Roman"/>
        </w:rPr>
      </w:pPr>
    </w:p>
    <w:p w:rsidR="00461218" w:rsidRPr="00030D7C" w:rsidRDefault="00461218" w:rsidP="00461218">
      <w:pPr>
        <w:tabs>
          <w:tab w:val="left" w:pos="525"/>
        </w:tabs>
        <w:spacing w:beforeLines="50" w:before="156" w:line="360" w:lineRule="auto"/>
        <w:ind w:firstLineChars="200" w:firstLine="420"/>
        <w:jc w:val="left"/>
        <w:rPr>
          <w:rFonts w:ascii="Times New Roman" w:eastAsiaTheme="minorEastAsia" w:hAnsi="Times New Roman" w:cs="Times New Roman"/>
        </w:rPr>
      </w:pPr>
      <w:r w:rsidRPr="00030D7C">
        <w:rPr>
          <w:rFonts w:ascii="Times New Roman" w:eastAsiaTheme="minorEastAsia" w:hAnsi="Times New Roman" w:cs="Times New Roman"/>
        </w:rPr>
        <w:t>单个流体包裹体</w:t>
      </w:r>
      <w:r w:rsidRPr="00030D7C">
        <w:rPr>
          <w:rFonts w:ascii="Times New Roman" w:eastAsiaTheme="minorEastAsia" w:hAnsi="Times New Roman" w:cs="Times New Roman"/>
        </w:rPr>
        <w:t>LA-ICP-MS</w:t>
      </w:r>
      <w:r w:rsidRPr="00030D7C">
        <w:rPr>
          <w:rFonts w:ascii="Times New Roman" w:eastAsiaTheme="minorEastAsia" w:hAnsi="Times New Roman" w:cs="Times New Roman"/>
        </w:rPr>
        <w:t>分析（暂不包括熔融包裹体）是一项高技术含量、低成功率的分析测试项目，实验人员在开展实验之前请仔细阅读以下注意事项：</w:t>
      </w:r>
      <w:r w:rsidRPr="00030D7C">
        <w:rPr>
          <w:rFonts w:ascii="Times New Roman" w:eastAsiaTheme="minorEastAsia" w:hAnsi="Times New Roman" w:cs="Times New Roman"/>
        </w:rPr>
        <w:t xml:space="preserve"> </w:t>
      </w:r>
    </w:p>
    <w:p w:rsidR="00461218" w:rsidRPr="00030D7C" w:rsidRDefault="00461218" w:rsidP="00461218">
      <w:pPr>
        <w:tabs>
          <w:tab w:val="left" w:pos="210"/>
          <w:tab w:val="left" w:pos="740"/>
        </w:tabs>
        <w:adjustRightInd w:val="0"/>
        <w:snapToGrid w:val="0"/>
        <w:spacing w:beforeLines="50" w:before="156" w:line="360" w:lineRule="auto"/>
        <w:jc w:val="left"/>
        <w:rPr>
          <w:rFonts w:ascii="Times New Roman" w:eastAsiaTheme="minorEastAsia" w:hAnsi="Times New Roman" w:cs="Times New Roman"/>
        </w:rPr>
      </w:pPr>
      <w:r w:rsidRPr="00030D7C">
        <w:rPr>
          <w:rFonts w:ascii="Times New Roman" w:eastAsiaTheme="minorEastAsia" w:hAnsi="Times New Roman" w:cs="Times New Roman"/>
        </w:rPr>
        <w:t>1</w:t>
      </w:r>
      <w:r w:rsidRPr="00030D7C">
        <w:rPr>
          <w:rFonts w:ascii="Times New Roman" w:eastAsiaTheme="minorEastAsia" w:hAnsi="Times New Roman" w:cs="Times New Roman"/>
        </w:rPr>
        <w:t>、流体包裹体主微量元素的定量计算需要使用</w:t>
      </w:r>
      <w:proofErr w:type="spellStart"/>
      <w:r w:rsidRPr="00030D7C">
        <w:rPr>
          <w:rFonts w:ascii="Times New Roman" w:eastAsiaTheme="minorEastAsia" w:hAnsi="Times New Roman" w:cs="Times New Roman"/>
        </w:rPr>
        <w:t>NaCl</w:t>
      </w:r>
      <w:proofErr w:type="spellEnd"/>
      <w:r w:rsidRPr="00030D7C">
        <w:rPr>
          <w:rFonts w:ascii="Times New Roman" w:eastAsiaTheme="minorEastAsia" w:hAnsi="Times New Roman" w:cs="Times New Roman"/>
        </w:rPr>
        <w:t>等效盐度为内标，因此开展</w:t>
      </w:r>
      <w:r w:rsidRPr="00030D7C">
        <w:rPr>
          <w:rFonts w:ascii="Times New Roman" w:eastAsiaTheme="minorEastAsia" w:hAnsi="Times New Roman" w:cs="Times New Roman"/>
        </w:rPr>
        <w:t>LA-ICP-MS</w:t>
      </w:r>
      <w:r w:rsidRPr="00030D7C">
        <w:rPr>
          <w:rFonts w:ascii="Times New Roman" w:eastAsiaTheme="minorEastAsia" w:hAnsi="Times New Roman" w:cs="Times New Roman"/>
        </w:rPr>
        <w:t>分析之前必须先进行显微测温，通过冰点、</w:t>
      </w:r>
      <w:proofErr w:type="gramStart"/>
      <w:r w:rsidRPr="00030D7C">
        <w:rPr>
          <w:rFonts w:ascii="Times New Roman" w:eastAsiaTheme="minorEastAsia" w:hAnsi="Times New Roman" w:cs="Times New Roman"/>
        </w:rPr>
        <w:t>笼合物或者子晶溶化</w:t>
      </w:r>
      <w:proofErr w:type="gramEnd"/>
      <w:r w:rsidRPr="00030D7C">
        <w:rPr>
          <w:rFonts w:ascii="Times New Roman" w:eastAsiaTheme="minorEastAsia" w:hAnsi="Times New Roman" w:cs="Times New Roman"/>
        </w:rPr>
        <w:t>温度获得包裹体的等效盐度；</w:t>
      </w:r>
    </w:p>
    <w:p w:rsidR="00461218" w:rsidRPr="00030D7C" w:rsidRDefault="00461218" w:rsidP="00461218">
      <w:pPr>
        <w:tabs>
          <w:tab w:val="left" w:pos="210"/>
          <w:tab w:val="left" w:pos="740"/>
        </w:tabs>
        <w:adjustRightInd w:val="0"/>
        <w:snapToGrid w:val="0"/>
        <w:spacing w:beforeLines="50" w:before="156" w:line="360" w:lineRule="auto"/>
        <w:jc w:val="left"/>
        <w:rPr>
          <w:rFonts w:ascii="Times New Roman" w:eastAsiaTheme="minorEastAsia" w:hAnsi="Times New Roman" w:cs="Times New Roman"/>
        </w:rPr>
      </w:pPr>
      <w:r w:rsidRPr="00030D7C">
        <w:rPr>
          <w:rFonts w:ascii="Times New Roman" w:eastAsiaTheme="minorEastAsia" w:hAnsi="Times New Roman" w:cs="Times New Roman"/>
        </w:rPr>
        <w:t>2</w:t>
      </w:r>
      <w:r w:rsidRPr="00030D7C">
        <w:rPr>
          <w:rFonts w:ascii="Times New Roman" w:eastAsiaTheme="minorEastAsia" w:hAnsi="Times New Roman" w:cs="Times New Roman"/>
        </w:rPr>
        <w:t>、</w:t>
      </w:r>
      <w:r w:rsidRPr="00030D7C">
        <w:rPr>
          <w:rFonts w:ascii="Times New Roman" w:eastAsiaTheme="minorEastAsia" w:hAnsi="Times New Roman" w:cs="Times New Roman"/>
        </w:rPr>
        <w:t>LA-ICP-MS</w:t>
      </w:r>
      <w:r w:rsidRPr="00030D7C">
        <w:rPr>
          <w:rFonts w:ascii="Times New Roman" w:eastAsiaTheme="minorEastAsia" w:hAnsi="Times New Roman" w:cs="Times New Roman"/>
        </w:rPr>
        <w:t>测试与显微测温尽量做到</w:t>
      </w:r>
      <w:r w:rsidRPr="00030D7C">
        <w:rPr>
          <w:rFonts w:ascii="Times New Roman" w:eastAsiaTheme="minorEastAsia" w:hAnsi="Times New Roman" w:cs="Times New Roman"/>
        </w:rPr>
        <w:t>“</w:t>
      </w:r>
      <w:r w:rsidRPr="00030D7C">
        <w:rPr>
          <w:rFonts w:ascii="Times New Roman" w:eastAsiaTheme="minorEastAsia" w:hAnsi="Times New Roman" w:cs="Times New Roman"/>
        </w:rPr>
        <w:t>一对一</w:t>
      </w:r>
      <w:r w:rsidRPr="00030D7C">
        <w:rPr>
          <w:rFonts w:ascii="Times New Roman" w:eastAsiaTheme="minorEastAsia" w:hAnsi="Times New Roman" w:cs="Times New Roman"/>
        </w:rPr>
        <w:t>”</w:t>
      </w:r>
      <w:r w:rsidRPr="00030D7C">
        <w:rPr>
          <w:rFonts w:ascii="Times New Roman" w:eastAsiaTheme="minorEastAsia" w:hAnsi="Times New Roman" w:cs="Times New Roman"/>
        </w:rPr>
        <w:t>，因为</w:t>
      </w:r>
      <w:proofErr w:type="gramStart"/>
      <w:r w:rsidRPr="00030D7C">
        <w:rPr>
          <w:rFonts w:ascii="Times New Roman" w:eastAsiaTheme="minorEastAsia" w:hAnsi="Times New Roman" w:cs="Times New Roman"/>
        </w:rPr>
        <w:t>就算同</w:t>
      </w:r>
      <w:proofErr w:type="gramEnd"/>
      <w:r w:rsidRPr="00030D7C">
        <w:rPr>
          <w:rFonts w:ascii="Times New Roman" w:eastAsiaTheme="minorEastAsia" w:hAnsi="Times New Roman" w:cs="Times New Roman"/>
        </w:rPr>
        <w:t>一包裹体片上的同期次、同类型包裹体，其盐度变化也可能较大，这要求非常详细的包裹体岩相</w:t>
      </w:r>
      <w:proofErr w:type="gramStart"/>
      <w:r w:rsidRPr="00030D7C">
        <w:rPr>
          <w:rFonts w:ascii="Times New Roman" w:eastAsiaTheme="minorEastAsia" w:hAnsi="Times New Roman" w:cs="Times New Roman"/>
        </w:rPr>
        <w:t>学观察</w:t>
      </w:r>
      <w:proofErr w:type="gramEnd"/>
      <w:r w:rsidRPr="00030D7C">
        <w:rPr>
          <w:rFonts w:ascii="Times New Roman" w:eastAsiaTheme="minorEastAsia" w:hAnsi="Times New Roman" w:cs="Times New Roman"/>
        </w:rPr>
        <w:t>和记录，确保开展过显微测温的同一包裹体在进行</w:t>
      </w:r>
      <w:proofErr w:type="spellStart"/>
      <w:r w:rsidRPr="00030D7C">
        <w:rPr>
          <w:rFonts w:ascii="Times New Roman" w:eastAsiaTheme="minorEastAsia" w:hAnsi="Times New Roman" w:cs="Times New Roman"/>
        </w:rPr>
        <w:t>LA-ICP-MS</w:t>
      </w:r>
      <w:proofErr w:type="spellEnd"/>
      <w:r w:rsidRPr="00030D7C">
        <w:rPr>
          <w:rFonts w:ascii="Times New Roman" w:eastAsiaTheme="minorEastAsia" w:hAnsi="Times New Roman" w:cs="Times New Roman"/>
        </w:rPr>
        <w:t>测试时能够找到。如果确实无法实现</w:t>
      </w:r>
      <w:r w:rsidRPr="00030D7C">
        <w:rPr>
          <w:rFonts w:ascii="Times New Roman" w:eastAsiaTheme="minorEastAsia" w:hAnsi="Times New Roman" w:cs="Times New Roman"/>
        </w:rPr>
        <w:t xml:space="preserve"> “</w:t>
      </w:r>
      <w:r w:rsidRPr="00030D7C">
        <w:rPr>
          <w:rFonts w:ascii="Times New Roman" w:eastAsiaTheme="minorEastAsia" w:hAnsi="Times New Roman" w:cs="Times New Roman"/>
        </w:rPr>
        <w:t>一对一</w:t>
      </w:r>
      <w:r w:rsidRPr="00030D7C">
        <w:rPr>
          <w:rFonts w:ascii="Times New Roman" w:eastAsiaTheme="minorEastAsia" w:hAnsi="Times New Roman" w:cs="Times New Roman"/>
        </w:rPr>
        <w:t>”</w:t>
      </w:r>
      <w:r w:rsidRPr="00030D7C">
        <w:rPr>
          <w:rFonts w:ascii="Times New Roman" w:eastAsiaTheme="minorEastAsia" w:hAnsi="Times New Roman" w:cs="Times New Roman"/>
        </w:rPr>
        <w:t>分析，建议使用流体包裹体组合（</w:t>
      </w:r>
      <w:r w:rsidRPr="00030D7C">
        <w:rPr>
          <w:rFonts w:ascii="Times New Roman" w:eastAsiaTheme="minorEastAsia" w:hAnsi="Times New Roman" w:cs="Times New Roman"/>
        </w:rPr>
        <w:t>FIA</w:t>
      </w:r>
      <w:r w:rsidRPr="00030D7C">
        <w:rPr>
          <w:rFonts w:ascii="Times New Roman" w:eastAsiaTheme="minorEastAsia" w:hAnsi="Times New Roman" w:cs="Times New Roman"/>
        </w:rPr>
        <w:t>），对共生的同期次、同类型、同成因包裹体</w:t>
      </w:r>
      <w:proofErr w:type="gramStart"/>
      <w:r w:rsidRPr="00030D7C">
        <w:rPr>
          <w:rFonts w:ascii="Times New Roman" w:eastAsiaTheme="minorEastAsia" w:hAnsi="Times New Roman" w:cs="Times New Roman"/>
        </w:rPr>
        <w:t>群使用</w:t>
      </w:r>
      <w:proofErr w:type="gramEnd"/>
      <w:r w:rsidRPr="00030D7C">
        <w:rPr>
          <w:rFonts w:ascii="Times New Roman" w:eastAsiaTheme="minorEastAsia" w:hAnsi="Times New Roman" w:cs="Times New Roman"/>
        </w:rPr>
        <w:t>平均盐度为内标。</w:t>
      </w:r>
    </w:p>
    <w:p w:rsidR="00461218" w:rsidRPr="00030D7C" w:rsidRDefault="00461218" w:rsidP="00461218">
      <w:pPr>
        <w:tabs>
          <w:tab w:val="left" w:pos="740"/>
        </w:tabs>
        <w:spacing w:beforeLines="50" w:before="156" w:line="360" w:lineRule="auto"/>
        <w:jc w:val="left"/>
        <w:rPr>
          <w:rFonts w:ascii="Times New Roman" w:eastAsiaTheme="minorEastAsia" w:hAnsi="Times New Roman" w:cs="Times New Roman"/>
        </w:rPr>
      </w:pPr>
      <w:r w:rsidRPr="00030D7C">
        <w:rPr>
          <w:rFonts w:ascii="Times New Roman" w:eastAsiaTheme="minorEastAsia" w:hAnsi="Times New Roman" w:cs="Times New Roman"/>
        </w:rPr>
        <w:t>3</w:t>
      </w:r>
      <w:r w:rsidRPr="00030D7C">
        <w:rPr>
          <w:rFonts w:ascii="Times New Roman" w:eastAsiaTheme="minorEastAsia" w:hAnsi="Times New Roman" w:cs="Times New Roman"/>
        </w:rPr>
        <w:t>、适合于</w:t>
      </w:r>
      <w:r w:rsidRPr="00030D7C">
        <w:rPr>
          <w:rFonts w:ascii="Times New Roman" w:eastAsiaTheme="minorEastAsia" w:hAnsi="Times New Roman" w:cs="Times New Roman"/>
        </w:rPr>
        <w:t>LA-ICP-MS</w:t>
      </w:r>
      <w:r w:rsidRPr="00030D7C">
        <w:rPr>
          <w:rFonts w:ascii="Times New Roman" w:eastAsiaTheme="minorEastAsia" w:hAnsi="Times New Roman" w:cs="Times New Roman"/>
        </w:rPr>
        <w:t>分析的包裹体，其大小在</w:t>
      </w:r>
      <w:r w:rsidRPr="00030D7C">
        <w:rPr>
          <w:rFonts w:ascii="Times New Roman" w:eastAsiaTheme="minorEastAsia" w:hAnsi="Times New Roman" w:cs="Times New Roman"/>
        </w:rPr>
        <w:t>10~20μm</w:t>
      </w:r>
      <w:r w:rsidRPr="00030D7C">
        <w:rPr>
          <w:rFonts w:ascii="Times New Roman" w:eastAsiaTheme="minorEastAsia" w:hAnsi="Times New Roman" w:cs="Times New Roman"/>
        </w:rPr>
        <w:t>、深度在</w:t>
      </w:r>
      <w:r w:rsidRPr="00030D7C">
        <w:rPr>
          <w:rFonts w:ascii="Times New Roman" w:eastAsiaTheme="minorEastAsia" w:hAnsi="Times New Roman" w:cs="Times New Roman"/>
        </w:rPr>
        <w:t>20~40μm</w:t>
      </w:r>
      <w:r w:rsidRPr="00030D7C">
        <w:rPr>
          <w:rFonts w:ascii="Times New Roman" w:eastAsiaTheme="minorEastAsia" w:hAnsi="Times New Roman" w:cs="Times New Roman"/>
        </w:rPr>
        <w:t>为佳。包裹体太小，元素含量低，误差大，太大则在剥蚀过程中易碎；深度太浅，易受表面污染以及易碎，过深则激光难以打到。激光束斑选择至少要比包裹体长径大一圈，一般</w:t>
      </w:r>
      <w:r w:rsidRPr="00030D7C">
        <w:rPr>
          <w:rFonts w:ascii="Times New Roman" w:eastAsiaTheme="minorEastAsia" w:hAnsi="Times New Roman" w:cs="Times New Roman"/>
        </w:rPr>
        <w:t xml:space="preserve">24~44μm </w:t>
      </w:r>
      <w:r w:rsidRPr="00030D7C">
        <w:rPr>
          <w:rFonts w:ascii="Times New Roman" w:eastAsiaTheme="minorEastAsia" w:hAnsi="Times New Roman" w:cs="Times New Roman"/>
        </w:rPr>
        <w:t>较为合适，过小会导致检测限和误差升高，过大石英类寄主矿物难以剥蚀成功。</w:t>
      </w:r>
    </w:p>
    <w:p w:rsidR="00461218" w:rsidRPr="00030D7C" w:rsidRDefault="00461218" w:rsidP="00461218">
      <w:pPr>
        <w:tabs>
          <w:tab w:val="left" w:pos="740"/>
        </w:tabs>
        <w:spacing w:beforeLines="50" w:before="156" w:line="360" w:lineRule="auto"/>
        <w:jc w:val="left"/>
        <w:rPr>
          <w:rFonts w:ascii="Times New Roman" w:eastAsiaTheme="minorEastAsia" w:hAnsi="Times New Roman" w:cs="Times New Roman"/>
        </w:rPr>
      </w:pPr>
      <w:r w:rsidRPr="00030D7C">
        <w:rPr>
          <w:rFonts w:ascii="Times New Roman" w:eastAsiaTheme="minorEastAsia" w:hAnsi="Times New Roman" w:cs="Times New Roman"/>
        </w:rPr>
        <w:t>4</w:t>
      </w:r>
      <w:r w:rsidRPr="00030D7C">
        <w:rPr>
          <w:rFonts w:ascii="Times New Roman" w:eastAsiaTheme="minorEastAsia" w:hAnsi="Times New Roman" w:cs="Times New Roman"/>
        </w:rPr>
        <w:t>、石英是流体包裹体最常见、最重要的寄主矿物，但石英对</w:t>
      </w:r>
      <w:r w:rsidRPr="00030D7C">
        <w:rPr>
          <w:rFonts w:ascii="Times New Roman" w:eastAsiaTheme="minorEastAsia" w:hAnsi="Times New Roman" w:cs="Times New Roman"/>
        </w:rPr>
        <w:t>193nm</w:t>
      </w:r>
      <w:r w:rsidRPr="00030D7C">
        <w:rPr>
          <w:rFonts w:ascii="Times New Roman" w:eastAsiaTheme="minorEastAsia" w:hAnsi="Times New Roman" w:cs="Times New Roman"/>
        </w:rPr>
        <w:t>激光能量吸收弱，在剥蚀过程中易碎，因此剥蚀过程中激光脉冲、能量的选择非常重要。在开展正式测试之前，务必对石英进行不同激光参数的测试，以找到最佳的剥蚀参数。其余硅酸盐矿物，如石榴石、辉石和橄榄石等，可用常规方法剥蚀。本实验室暂不接寄主矿物为碳酸盐、硫酸盐和氟化物的样品。</w:t>
      </w:r>
    </w:p>
    <w:p w:rsidR="00461218" w:rsidRPr="00030D7C" w:rsidRDefault="00461218" w:rsidP="00461218">
      <w:pPr>
        <w:tabs>
          <w:tab w:val="left" w:pos="740"/>
        </w:tabs>
        <w:spacing w:beforeLines="50" w:before="156" w:line="360" w:lineRule="auto"/>
        <w:jc w:val="left"/>
        <w:rPr>
          <w:rFonts w:ascii="Times New Roman" w:eastAsiaTheme="minorEastAsia" w:hAnsi="Times New Roman" w:cs="Times New Roman"/>
        </w:rPr>
      </w:pPr>
      <w:r w:rsidRPr="00030D7C">
        <w:rPr>
          <w:rFonts w:ascii="Times New Roman" w:eastAsiaTheme="minorEastAsia" w:hAnsi="Times New Roman" w:cs="Times New Roman"/>
        </w:rPr>
        <w:t xml:space="preserve"> 5</w:t>
      </w:r>
      <w:r w:rsidRPr="00030D7C">
        <w:rPr>
          <w:rFonts w:ascii="Times New Roman" w:eastAsiaTheme="minorEastAsia" w:hAnsi="Times New Roman" w:cs="Times New Roman"/>
        </w:rPr>
        <w:t>、包裹体</w:t>
      </w:r>
      <w:r w:rsidRPr="00030D7C">
        <w:rPr>
          <w:rFonts w:ascii="Times New Roman" w:eastAsiaTheme="minorEastAsia" w:hAnsi="Times New Roman" w:cs="Times New Roman"/>
        </w:rPr>
        <w:t>LA-ICP-MS</w:t>
      </w:r>
      <w:r w:rsidRPr="00030D7C">
        <w:rPr>
          <w:rFonts w:ascii="Times New Roman" w:eastAsiaTheme="minorEastAsia" w:hAnsi="Times New Roman" w:cs="Times New Roman"/>
        </w:rPr>
        <w:t>分析通常耗时长、成功率低，一方面是包裹体定位困难，另一方面是最常用的寄主矿物石英剥蚀成功率非常低，大致在</w:t>
      </w:r>
      <w:r w:rsidRPr="00030D7C">
        <w:rPr>
          <w:rFonts w:ascii="Times New Roman" w:eastAsiaTheme="minorEastAsia" w:hAnsi="Times New Roman" w:cs="Times New Roman"/>
        </w:rPr>
        <w:t>20-60%</w:t>
      </w:r>
      <w:r w:rsidRPr="00030D7C">
        <w:rPr>
          <w:rFonts w:ascii="Times New Roman" w:eastAsiaTheme="minorEastAsia" w:hAnsi="Times New Roman" w:cs="Times New Roman"/>
        </w:rPr>
        <w:t>之间，包裹体越发育，成功率越低。此外，不同类型矿床的选择也非常重要。低温、低盐矿床的样品相对容易剥蚀，但是包裹体除了</w:t>
      </w:r>
      <w:r w:rsidRPr="00030D7C">
        <w:rPr>
          <w:rFonts w:ascii="Times New Roman" w:eastAsiaTheme="minorEastAsia" w:hAnsi="Times New Roman" w:cs="Times New Roman"/>
        </w:rPr>
        <w:t>Na</w:t>
      </w:r>
      <w:r w:rsidRPr="00030D7C">
        <w:rPr>
          <w:rFonts w:ascii="Times New Roman" w:eastAsiaTheme="minorEastAsia" w:hAnsi="Times New Roman" w:cs="Times New Roman"/>
        </w:rPr>
        <w:t>和</w:t>
      </w:r>
      <w:r w:rsidRPr="00030D7C">
        <w:rPr>
          <w:rFonts w:ascii="Times New Roman" w:eastAsiaTheme="minorEastAsia" w:hAnsi="Times New Roman" w:cs="Times New Roman"/>
        </w:rPr>
        <w:t>K</w:t>
      </w:r>
      <w:r w:rsidRPr="00030D7C">
        <w:rPr>
          <w:rFonts w:ascii="Times New Roman" w:eastAsiaTheme="minorEastAsia" w:hAnsi="Times New Roman" w:cs="Times New Roman"/>
        </w:rPr>
        <w:t>，其他元素很难获得有意义的数据；高温、高盐度矿床（如斑岩型、</w:t>
      </w:r>
      <w:proofErr w:type="gramStart"/>
      <w:r w:rsidRPr="00030D7C">
        <w:rPr>
          <w:rFonts w:ascii="Times New Roman" w:eastAsiaTheme="minorEastAsia" w:hAnsi="Times New Roman" w:cs="Times New Roman"/>
        </w:rPr>
        <w:t>矽卡岩</w:t>
      </w:r>
      <w:proofErr w:type="gramEnd"/>
      <w:r w:rsidRPr="00030D7C">
        <w:rPr>
          <w:rFonts w:ascii="Times New Roman" w:eastAsiaTheme="minorEastAsia" w:hAnsi="Times New Roman" w:cs="Times New Roman"/>
        </w:rPr>
        <w:t>型、岩浆型、伟晶岩型矿床），包裹体发育，元素种类多、含量高，但寄主矿物石英易碎。因此，是否做</w:t>
      </w:r>
      <w:r w:rsidRPr="00030D7C">
        <w:rPr>
          <w:rFonts w:ascii="Times New Roman" w:eastAsiaTheme="minorEastAsia" w:hAnsi="Times New Roman" w:cs="Times New Roman"/>
        </w:rPr>
        <w:t>LA-ICP-MS</w:t>
      </w:r>
      <w:r w:rsidRPr="00030D7C">
        <w:rPr>
          <w:rFonts w:ascii="Times New Roman" w:eastAsiaTheme="minorEastAsia" w:hAnsi="Times New Roman" w:cs="Times New Roman"/>
        </w:rPr>
        <w:t>分析一定要慎重考虑，因为本实验是按时间收费，花了钱但很可能做不出好的结果。</w:t>
      </w:r>
    </w:p>
    <w:p w:rsidR="00461218" w:rsidRPr="00030D7C" w:rsidRDefault="00461218" w:rsidP="00461218">
      <w:pPr>
        <w:tabs>
          <w:tab w:val="left" w:pos="740"/>
        </w:tabs>
        <w:spacing w:beforeLines="50" w:before="156" w:line="360" w:lineRule="auto"/>
        <w:jc w:val="left"/>
        <w:rPr>
          <w:rFonts w:ascii="Times New Roman" w:eastAsiaTheme="minorEastAsia" w:hAnsi="Times New Roman" w:cs="Times New Roman"/>
        </w:rPr>
      </w:pPr>
      <w:r w:rsidRPr="00030D7C">
        <w:rPr>
          <w:rFonts w:ascii="Times New Roman" w:eastAsiaTheme="minorEastAsia" w:hAnsi="Times New Roman" w:cs="Times New Roman"/>
        </w:rPr>
        <w:t>6</w:t>
      </w:r>
      <w:r w:rsidRPr="00030D7C">
        <w:rPr>
          <w:rFonts w:ascii="Times New Roman" w:eastAsiaTheme="minorEastAsia" w:hAnsi="Times New Roman" w:cs="Times New Roman"/>
        </w:rPr>
        <w:t>、包裹体</w:t>
      </w:r>
      <w:r w:rsidRPr="00030D7C">
        <w:rPr>
          <w:rFonts w:ascii="Times New Roman" w:eastAsiaTheme="minorEastAsia" w:hAnsi="Times New Roman" w:cs="Times New Roman"/>
        </w:rPr>
        <w:t>LA-ICP-MS</w:t>
      </w:r>
      <w:r w:rsidRPr="00030D7C">
        <w:rPr>
          <w:rFonts w:ascii="Times New Roman" w:eastAsiaTheme="minorEastAsia" w:hAnsi="Times New Roman" w:cs="Times New Roman"/>
        </w:rPr>
        <w:t>数据处理较为复杂，需要技巧，处理数据前务必咨询技术人员。</w:t>
      </w:r>
    </w:p>
    <w:p w:rsidR="00461218" w:rsidRPr="00030D7C" w:rsidRDefault="00461218" w:rsidP="00461218">
      <w:pPr>
        <w:tabs>
          <w:tab w:val="left" w:pos="740"/>
        </w:tabs>
        <w:spacing w:beforeLines="50" w:before="156" w:line="360" w:lineRule="auto"/>
        <w:jc w:val="left"/>
        <w:rPr>
          <w:rFonts w:ascii="Times New Roman" w:eastAsiaTheme="minorEastAsia" w:hAnsi="Times New Roman" w:cs="Times New Roman"/>
        </w:rPr>
      </w:pPr>
    </w:p>
    <w:bookmarkEnd w:id="0"/>
    <w:p w:rsidR="00D86EC3" w:rsidRPr="00030D7C" w:rsidRDefault="00D86EC3" w:rsidP="00737F15">
      <w:pPr>
        <w:tabs>
          <w:tab w:val="left" w:pos="645"/>
        </w:tabs>
        <w:rPr>
          <w:rFonts w:ascii="Times New Roman" w:eastAsiaTheme="minorEastAsia" w:hAnsi="Times New Roman" w:cs="Times New Roman"/>
        </w:rPr>
      </w:pPr>
    </w:p>
    <w:sectPr w:rsidR="00D86EC3" w:rsidRPr="00030D7C" w:rsidSect="0046121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15"/>
    <w:rsid w:val="00030D7C"/>
    <w:rsid w:val="00461218"/>
    <w:rsid w:val="00737F15"/>
    <w:rsid w:val="00D8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21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21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851</Characters>
  <Application>Microsoft Office Word</Application>
  <DocSecurity>0</DocSecurity>
  <Lines>7</Lines>
  <Paragraphs>1</Paragraphs>
  <ScaleCrop>false</ScaleCrop>
  <Company>微软中国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tyw_xt</cp:lastModifiedBy>
  <cp:revision>2</cp:revision>
  <dcterms:created xsi:type="dcterms:W3CDTF">2017-06-27T02:24:00Z</dcterms:created>
  <dcterms:modified xsi:type="dcterms:W3CDTF">2017-09-05T07:03:00Z</dcterms:modified>
</cp:coreProperties>
</file>